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C" w:rsidRDefault="000A742C" w:rsidP="000A742C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Mokinių</w:t>
      </w:r>
      <w:r w:rsidRPr="00DF26DD">
        <w:rPr>
          <w:rFonts w:ascii="Times New Roman" w:eastAsia="Verdana" w:hAnsi="Times New Roman" w:cs="Times New Roman"/>
          <w:b/>
          <w:sz w:val="24"/>
          <w:szCs w:val="24"/>
        </w:rPr>
        <w:t xml:space="preserve"> raidos sutrikimai Klaipėdos rajono ugdymo įstaigose  201</w:t>
      </w:r>
      <w:r w:rsidR="009815EF">
        <w:rPr>
          <w:rFonts w:ascii="Times New Roman" w:eastAsia="Verdana" w:hAnsi="Times New Roman" w:cs="Times New Roman"/>
          <w:b/>
          <w:sz w:val="24"/>
          <w:szCs w:val="24"/>
        </w:rPr>
        <w:t>8</w:t>
      </w:r>
      <w:r w:rsidRPr="00DF26DD">
        <w:rPr>
          <w:rFonts w:ascii="Times New Roman" w:eastAsia="Verdana" w:hAnsi="Times New Roman" w:cs="Times New Roman"/>
          <w:b/>
          <w:sz w:val="24"/>
          <w:szCs w:val="24"/>
        </w:rPr>
        <w:t>-201</w:t>
      </w:r>
      <w:r w:rsidR="009815EF">
        <w:rPr>
          <w:rFonts w:ascii="Times New Roman" w:eastAsia="Verdana" w:hAnsi="Times New Roman" w:cs="Times New Roman"/>
          <w:b/>
          <w:sz w:val="24"/>
          <w:szCs w:val="24"/>
        </w:rPr>
        <w:t>9</w:t>
      </w:r>
      <w:r w:rsidRPr="00DF26DD">
        <w:rPr>
          <w:rFonts w:ascii="Times New Roman" w:eastAsia="Verdana" w:hAnsi="Times New Roman" w:cs="Times New Roman"/>
          <w:b/>
          <w:sz w:val="24"/>
          <w:szCs w:val="24"/>
        </w:rPr>
        <w:t xml:space="preserve"> m. m.</w:t>
      </w:r>
    </w:p>
    <w:p w:rsidR="000A742C" w:rsidRPr="00DF26DD" w:rsidRDefault="000A742C" w:rsidP="000A742C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0A742C" w:rsidRPr="00DF26DD" w:rsidRDefault="000A742C" w:rsidP="000A742C">
      <w:pPr>
        <w:rPr>
          <w:rFonts w:ascii="Verdana" w:eastAsia="Verdana" w:hAnsi="Verdana" w:cs="Times New Roman"/>
          <w:sz w:val="20"/>
          <w:szCs w:val="20"/>
        </w:rPr>
      </w:pPr>
      <w:r w:rsidRPr="00DF26DD">
        <w:rPr>
          <w:rFonts w:ascii="Verdana" w:eastAsia="Verdana" w:hAnsi="Verdana" w:cs="Times New Roman"/>
          <w:noProof/>
          <w:lang w:eastAsia="lt-LT"/>
        </w:rPr>
        <w:drawing>
          <wp:inline distT="0" distB="0" distL="0" distR="0" wp14:anchorId="3DF992CC" wp14:editId="2A8182EA">
            <wp:extent cx="9271591" cy="2892055"/>
            <wp:effectExtent l="0" t="0" r="25400" b="2286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742C" w:rsidRPr="006F3190" w:rsidRDefault="000A742C" w:rsidP="000A742C">
      <w:pPr>
        <w:rPr>
          <w:rFonts w:ascii="Times New Roman" w:eastAsia="Verdana" w:hAnsi="Times New Roman" w:cs="Times New Roman"/>
        </w:rPr>
      </w:pPr>
      <w:r w:rsidRPr="00DF26DD">
        <w:rPr>
          <w:rFonts w:ascii="Times New Roman" w:eastAsia="Times New Roman" w:hAnsi="Times New Roman" w:cs="Times New Roman"/>
          <w:lang w:eastAsia="lt-LT"/>
        </w:rPr>
        <w:tab/>
      </w:r>
      <w:bookmarkStart w:id="0" w:name="_GoBack"/>
      <w:r w:rsidRPr="00DF26DD">
        <w:rPr>
          <w:rFonts w:ascii="Verdana" w:eastAsia="Verdana" w:hAnsi="Verdana" w:cs="Times New Roman"/>
          <w:noProof/>
          <w:lang w:eastAsia="lt-LT"/>
        </w:rPr>
        <w:drawing>
          <wp:inline distT="0" distB="0" distL="0" distR="0" wp14:anchorId="45881D94" wp14:editId="11E3970D">
            <wp:extent cx="9069572" cy="2424224"/>
            <wp:effectExtent l="0" t="0" r="17780" b="14605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A742C" w:rsidRDefault="000A742C" w:rsidP="000A742C">
      <w:pPr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Verdana" w:hAnsi="Times New Roman" w:cs="Times New Roman"/>
        </w:rPr>
        <w:t xml:space="preserve">     </w:t>
      </w:r>
      <w:r w:rsidRPr="00DF26DD">
        <w:rPr>
          <w:rFonts w:ascii="Times New Roman" w:eastAsia="Verdana" w:hAnsi="Times New Roman" w:cs="Times New Roman"/>
        </w:rPr>
        <w:t xml:space="preserve">Parengė Klaipėdos r. PPT vyr. spec. pedagogė </w:t>
      </w:r>
      <w:r w:rsidRPr="00DF26DD">
        <w:rPr>
          <w:rFonts w:ascii="Times New Roman" w:eastAsia="Verdana" w:hAnsi="Times New Roman" w:cs="Times New Roman"/>
        </w:rPr>
        <w:tab/>
      </w:r>
      <w:r w:rsidRPr="00DF26DD">
        <w:rPr>
          <w:rFonts w:ascii="Times New Roman" w:eastAsia="Verdana" w:hAnsi="Times New Roman" w:cs="Times New Roman"/>
        </w:rPr>
        <w:tab/>
      </w:r>
      <w:r w:rsidRPr="00DF26DD">
        <w:rPr>
          <w:rFonts w:ascii="Times New Roman" w:eastAsia="Verdana" w:hAnsi="Times New Roman" w:cs="Times New Roman"/>
        </w:rPr>
        <w:tab/>
      </w:r>
      <w:r w:rsidRPr="00DF26DD">
        <w:rPr>
          <w:rFonts w:ascii="Times New Roman" w:eastAsia="Times New Roman" w:hAnsi="Times New Roman" w:cs="Times New Roman"/>
          <w:lang w:eastAsia="lt-LT"/>
        </w:rPr>
        <w:t>Vyginta Vaišvilaitė-Pranienė</w:t>
      </w:r>
      <w:r w:rsidRPr="00DF26DD">
        <w:rPr>
          <w:rFonts w:ascii="Times New Roman" w:eastAsia="Times New Roman" w:hAnsi="Times New Roman" w:cs="Times New Roman"/>
          <w:lang w:eastAsia="lt-LT"/>
        </w:rPr>
        <w:tab/>
      </w:r>
    </w:p>
    <w:p w:rsidR="000A742C" w:rsidRDefault="000A742C" w:rsidP="000A742C">
      <w:r>
        <w:rPr>
          <w:noProof/>
          <w:lang w:eastAsia="lt-LT"/>
        </w:rPr>
        <w:lastRenderedPageBreak/>
        <w:drawing>
          <wp:inline distT="0" distB="0" distL="0" distR="0" wp14:anchorId="632690DB" wp14:editId="5990182B">
            <wp:extent cx="9144000" cy="2711303"/>
            <wp:effectExtent l="0" t="0" r="19050" b="13335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742C" w:rsidRDefault="000A742C" w:rsidP="000A742C"/>
    <w:p w:rsidR="000A742C" w:rsidRDefault="000A742C" w:rsidP="000A742C">
      <w:r>
        <w:rPr>
          <w:noProof/>
          <w:lang w:eastAsia="lt-LT"/>
        </w:rPr>
        <w:drawing>
          <wp:inline distT="0" distB="0" distL="0" distR="0" wp14:anchorId="07FC1812" wp14:editId="6D3413F9">
            <wp:extent cx="9239693" cy="2690038"/>
            <wp:effectExtent l="0" t="0" r="19050" b="1524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7C23" w:rsidRDefault="000A742C">
      <w:r w:rsidRPr="00DF26DD">
        <w:rPr>
          <w:rFonts w:ascii="Times New Roman" w:eastAsia="Verdana" w:hAnsi="Times New Roman" w:cs="Times New Roman"/>
        </w:rPr>
        <w:t xml:space="preserve">Parengė Klaipėdos r. PPT vyr. spec. pedagogė </w:t>
      </w:r>
      <w:r w:rsidRPr="00DF26DD">
        <w:rPr>
          <w:rFonts w:ascii="Times New Roman" w:eastAsia="Verdana" w:hAnsi="Times New Roman" w:cs="Times New Roman"/>
        </w:rPr>
        <w:tab/>
      </w:r>
      <w:r w:rsidRPr="00DF26DD">
        <w:rPr>
          <w:rFonts w:ascii="Times New Roman" w:eastAsia="Verdana" w:hAnsi="Times New Roman" w:cs="Times New Roman"/>
        </w:rPr>
        <w:tab/>
      </w:r>
      <w:r w:rsidRPr="00DF26DD">
        <w:rPr>
          <w:rFonts w:ascii="Times New Roman" w:eastAsia="Verdana" w:hAnsi="Times New Roman" w:cs="Times New Roman"/>
        </w:rPr>
        <w:tab/>
      </w:r>
      <w:r w:rsidRPr="00DF26DD">
        <w:rPr>
          <w:rFonts w:ascii="Times New Roman" w:eastAsia="Times New Roman" w:hAnsi="Times New Roman" w:cs="Times New Roman"/>
          <w:lang w:eastAsia="lt-LT"/>
        </w:rPr>
        <w:t>Vyginta Vaišvilaitė-Pranienė</w:t>
      </w:r>
      <w:r w:rsidRPr="00DF26DD">
        <w:rPr>
          <w:rFonts w:ascii="Times New Roman" w:eastAsia="Times New Roman" w:hAnsi="Times New Roman" w:cs="Times New Roman"/>
          <w:lang w:eastAsia="lt-LT"/>
        </w:rPr>
        <w:tab/>
      </w:r>
    </w:p>
    <w:sectPr w:rsidR="00207C23" w:rsidSect="00ED6284">
      <w:pgSz w:w="16838" w:h="11906" w:orient="landscape"/>
      <w:pgMar w:top="1134" w:right="138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2C"/>
    <w:rsid w:val="000A742C"/>
    <w:rsid w:val="0018550B"/>
    <w:rsid w:val="00207C23"/>
    <w:rsid w:val="00424549"/>
    <w:rsid w:val="009815EF"/>
    <w:rsid w:val="00E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74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7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74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7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703861503613417"/>
          <c:y val="0"/>
          <c:w val="0.52133770784323852"/>
          <c:h val="0.927154912337420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Negalios 167</c:v>
                </c:pt>
              </c:strCache>
            </c:strRef>
          </c:tx>
          <c:invertIfNegative val="0"/>
          <c:dLbls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numFmt formatCode="General" sourceLinked="0"/>
            <c:txPr>
              <a:bodyPr/>
              <a:lstStyle/>
              <a:p>
                <a:pPr>
                  <a:defRPr sz="9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 ir padėties bei neurologiniai sutrikimai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 ir/ar emocijų sutrikimai</c:v>
                </c:pt>
                <c:pt idx="8">
                  <c:v>Bendrieji mokymosi sutrikimai</c:v>
                </c:pt>
                <c:pt idx="9">
                  <c:v>Kalbos ir kalbėjimo sutrikimai</c:v>
                </c:pt>
                <c:pt idx="10">
                  <c:v>Kompleksinis sutrikimas</c:v>
                </c:pt>
                <c:pt idx="11">
                  <c:v>Sulėtėjusi raida</c:v>
                </c:pt>
                <c:pt idx="12">
                  <c:v>Sveikatos problemos</c:v>
                </c:pt>
                <c:pt idx="13">
                  <c:v>Nepalankūs aplinkos veiksniai</c:v>
                </c:pt>
                <c:pt idx="14">
                  <c:v>Besimokantys negimtąja kalba/gyvenantys kt. kalbinėje aplinkoje</c:v>
                </c:pt>
              </c:strCache>
            </c:strRef>
          </c:cat>
          <c:val>
            <c:numRef>
              <c:f>Lapas1!$B$2:$B$16</c:f>
              <c:numCache>
                <c:formatCode>General</c:formatCode>
                <c:ptCount val="15"/>
                <c:pt idx="0">
                  <c:v>63</c:v>
                </c:pt>
                <c:pt idx="1">
                  <c:v>2</c:v>
                </c:pt>
                <c:pt idx="2">
                  <c:v>8</c:v>
                </c:pt>
                <c:pt idx="3">
                  <c:v>27</c:v>
                </c:pt>
                <c:pt idx="4">
                  <c:v>36</c:v>
                </c:pt>
                <c:pt idx="5">
                  <c:v>31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Mokymosi sutrikimai 1421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7"/>
              <c:layout>
                <c:manualLayout>
                  <c:x val="0"/>
                  <c:y val="-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4800734846910306E-3"/>
                  <c:y val="-8.5469118178490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spPr>
              <a:noFill/>
              <a:effectLst/>
              <a:scene3d>
                <a:camera prst="orthographicFront"/>
                <a:lightRig rig="threePt" dir="t"/>
              </a:scene3d>
              <a:sp3d>
                <a:bevelB w="165100" prst="coolSlant"/>
              </a:sp3d>
            </c:spPr>
            <c:txPr>
              <a:bodyPr/>
              <a:lstStyle/>
              <a:p>
                <a:pPr>
                  <a:defRPr sz="9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 ir padėties bei neurologiniai sutrikimai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 ir/ar emocijų sutrikimai</c:v>
                </c:pt>
                <c:pt idx="8">
                  <c:v>Bendrieji mokymosi sutrikimai</c:v>
                </c:pt>
                <c:pt idx="9">
                  <c:v>Kalbos ir kalbėjimo sutrikimai</c:v>
                </c:pt>
                <c:pt idx="10">
                  <c:v>Kompleksinis sutrikimas</c:v>
                </c:pt>
                <c:pt idx="11">
                  <c:v>Sulėtėjusi raida</c:v>
                </c:pt>
                <c:pt idx="12">
                  <c:v>Sveikatos problemos</c:v>
                </c:pt>
                <c:pt idx="13">
                  <c:v>Nepalankūs aplinkos veiksniai</c:v>
                </c:pt>
                <c:pt idx="14">
                  <c:v>Besimokantys negimtąja kalba/gyvenantys kt. kalbinėje aplinkoje</c:v>
                </c:pt>
              </c:strCache>
            </c:strRef>
          </c:cat>
          <c:val>
            <c:numRef>
              <c:f>Lapas1!$C$2:$C$16</c:f>
              <c:numCache>
                <c:formatCode>General</c:formatCode>
                <c:ptCount val="15"/>
                <c:pt idx="6">
                  <c:v>72</c:v>
                </c:pt>
                <c:pt idx="7">
                  <c:v>33</c:v>
                </c:pt>
                <c:pt idx="8">
                  <c:v>41</c:v>
                </c:pt>
                <c:pt idx="9">
                  <c:v>1050</c:v>
                </c:pt>
                <c:pt idx="10">
                  <c:v>225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Mokymosi sunkumai 134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0.47544612354017762"/>
                  <c:y val="8.4839327052908739E-3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lt-LT"/>
                      <a:t>921</a:t>
                    </a:r>
                    <a:endParaRPr lang="en-US"/>
                  </a:p>
                </c:rich>
              </c:tx>
              <c:spPr>
                <a:effectLst>
                  <a:glow rad="127000">
                    <a:schemeClr val="bg1">
                      <a:lumMod val="95000"/>
                    </a:schemeClr>
                  </a:glow>
                </a:effectLst>
                <a:scene3d>
                  <a:camera prst="orthographicFront"/>
                  <a:lightRig rig="threePt" dir="t"/>
                </a:scene3d>
                <a:sp3d>
                  <a:bevelB w="165100" prst="coolSlant"/>
                </a:sp3d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10273306922188441"/>
                  <c:y val="7.6530356442045533E-3"/>
                </c:manualLayout>
              </c:layout>
              <c:tx>
                <c:rich>
                  <a:bodyPr/>
                  <a:lstStyle/>
                  <a:p>
                    <a:r>
                      <a:rPr lang="lt-LT" sz="900"/>
                      <a:t>154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cene3d>
                <a:camera prst="orthographicFront"/>
                <a:lightRig rig="threePt" dir="t"/>
              </a:scene3d>
              <a:sp3d>
                <a:bevelB w="165100" prst="coolSlant"/>
              </a:sp3d>
            </c:spPr>
            <c:txPr>
              <a:bodyPr/>
              <a:lstStyle/>
              <a:p>
                <a:pPr>
                  <a:defRPr sz="9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 ir padėties bei neurologiniai sutrikimai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 ir/ar emocijų sutrikimai</c:v>
                </c:pt>
                <c:pt idx="8">
                  <c:v>Bendrieji mokymosi sutrikimai</c:v>
                </c:pt>
                <c:pt idx="9">
                  <c:v>Kalbos ir kalbėjimo sutrikimai</c:v>
                </c:pt>
                <c:pt idx="10">
                  <c:v>Kompleksinis sutrikimas</c:v>
                </c:pt>
                <c:pt idx="11">
                  <c:v>Sulėtėjusi raida</c:v>
                </c:pt>
                <c:pt idx="12">
                  <c:v>Sveikatos problemos</c:v>
                </c:pt>
                <c:pt idx="13">
                  <c:v>Nepalankūs aplinkos veiksniai</c:v>
                </c:pt>
                <c:pt idx="14">
                  <c:v>Besimokantys negimtąja kalba/gyvenantys kt. kalbinėje aplinkoje</c:v>
                </c:pt>
              </c:strCache>
            </c:strRef>
          </c:cat>
          <c:val>
            <c:numRef>
              <c:f>Lapas1!$D$2:$D$16</c:f>
              <c:numCache>
                <c:formatCode>General</c:formatCode>
                <c:ptCount val="15"/>
                <c:pt idx="11">
                  <c:v>72</c:v>
                </c:pt>
                <c:pt idx="12">
                  <c:v>1</c:v>
                </c:pt>
                <c:pt idx="13">
                  <c:v>58</c:v>
                </c:pt>
                <c:pt idx="1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015616"/>
        <c:axId val="152017152"/>
      </c:barChart>
      <c:catAx>
        <c:axId val="152015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t-LT"/>
          </a:p>
        </c:txPr>
        <c:crossAx val="152017152"/>
        <c:crosses val="autoZero"/>
        <c:auto val="1"/>
        <c:lblAlgn val="ctr"/>
        <c:lblOffset val="100"/>
        <c:noMultiLvlLbl val="0"/>
      </c:catAx>
      <c:valAx>
        <c:axId val="15201715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152015616"/>
        <c:crosses val="autoZero"/>
        <c:crossBetween val="between"/>
      </c:valAx>
      <c:spPr>
        <a:effectLst>
          <a:innerShdw blurRad="63500" dist="50800" dir="8100000">
            <a:prstClr val="black">
              <a:alpha val="50000"/>
            </a:prstClr>
          </a:innerShdw>
        </a:effectLst>
      </c:spPr>
    </c:plotArea>
    <c:legend>
      <c:legendPos val="r"/>
      <c:layout>
        <c:manualLayout>
          <c:xMode val="edge"/>
          <c:yMode val="edge"/>
          <c:x val="0.85491609737242347"/>
          <c:y val="7.2431262297746393E-2"/>
          <c:w val="0.12322243892175348"/>
          <c:h val="0.73595463084880619"/>
        </c:manualLayout>
      </c:layout>
      <c:overlay val="1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lt-LT" sz="1400"/>
              <a:t>SUP mokiniai Klaipėdos r. švietimo įstaigose 2018-2019 m. m. 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599108934912566E-3"/>
          <c:y val="0.23991761978657777"/>
          <c:w val="0.5960310108295287"/>
          <c:h val="0.6568557579937544"/>
        </c:manualLayout>
      </c:layout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SUP mokiniai Klaipėdos r. švietimo įstaigose </c:v>
                </c:pt>
              </c:strCache>
            </c:strRef>
          </c:tx>
          <c:dLbls>
            <c:dLbl>
              <c:idx val="0"/>
              <c:layout>
                <c:manualLayout>
                  <c:x val="-2.8892653368869006E-2"/>
                  <c:y val="0.1074132130081118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1467592597697447E-2"/>
                  <c:y val="-0.103868932809911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lt-LT"/>
                      <a:t>58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lt-LT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Lapas1!$A$2:$A$6</c:f>
              <c:strCache>
                <c:ptCount val="5"/>
                <c:pt idx="0">
                  <c:v>Gimnazijos</c:v>
                </c:pt>
                <c:pt idx="1">
                  <c:v>Pagrindinės mokyklos, progimnazija, daugiafunkciai centrai</c:v>
                </c:pt>
                <c:pt idx="2">
                  <c:v>Mokykla-darželis</c:v>
                </c:pt>
                <c:pt idx="3">
                  <c:v>Ikimokyklinės įstaigos</c:v>
                </c:pt>
                <c:pt idx="4">
                  <c:v>Iš viso: 1557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273</c:v>
                </c:pt>
                <c:pt idx="1">
                  <c:v>750</c:v>
                </c:pt>
                <c:pt idx="2">
                  <c:v>41</c:v>
                </c:pt>
                <c:pt idx="3">
                  <c:v>493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853117625002763"/>
          <c:y val="0.19007876748755786"/>
          <c:w val="0.37179701801980636"/>
          <c:h val="0.7272271269181031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lt-LT"/>
              <a:t>Kompleksinių negalių sudėtis 2018-2019 m. m.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Kompleksinių negalių sudėtis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Lapas1!$A$2:$A$5</c:f>
              <c:strCache>
                <c:ptCount val="4"/>
                <c:pt idx="0">
                  <c:v>Intelekto sutrikimas</c:v>
                </c:pt>
                <c:pt idx="1">
                  <c:v>Regos sutrikimas</c:v>
                </c:pt>
                <c:pt idx="2">
                  <c:v>Judesio ir padėties bei neurologiniai sutrikimai</c:v>
                </c:pt>
                <c:pt idx="3">
                  <c:v>Įvairiapusiai raidos sutrikimai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29</c:v>
                </c:pt>
                <c:pt idx="1">
                  <c:v>1</c:v>
                </c:pt>
                <c:pt idx="2">
                  <c:v>27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609612860892383"/>
          <c:y val="0.31049088896487542"/>
          <c:w val="0.35168164916885392"/>
          <c:h val="0.4721763622848807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lt-LT"/>
              <a:t>Kompleksinių sutrikimų sudėtis 2018-2019 m. m.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Kompleksinių sutrikimų sudėtis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Lapas1!$A$2:$A$6</c:f>
              <c:strCache>
                <c:ptCount val="5"/>
                <c:pt idx="0">
                  <c:v>Specifiniai mokymosi sutrikimai</c:v>
                </c:pt>
                <c:pt idx="1">
                  <c:v>Elgesio ir emocijų sutrikimai</c:v>
                </c:pt>
                <c:pt idx="2">
                  <c:v> Bendrieji mokymosi sutrikimai</c:v>
                </c:pt>
                <c:pt idx="3">
                  <c:v>Kalbos ir kalbėjimo sutrikimai</c:v>
                </c:pt>
                <c:pt idx="4">
                  <c:v>Neverbaliniai mokymosi sutrikimai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159</c:v>
                </c:pt>
                <c:pt idx="1">
                  <c:v>220</c:v>
                </c:pt>
                <c:pt idx="2">
                  <c:v>29</c:v>
                </c:pt>
                <c:pt idx="3">
                  <c:v>58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110788213329003"/>
          <c:y val="0.24502316105670927"/>
          <c:w val="0.34667207836133884"/>
          <c:h val="0.59704966057713038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Aspect">
    <a:maj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ajorFont>
    <a:min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cp:lastPrinted>2018-11-05T14:39:00Z</cp:lastPrinted>
  <dcterms:created xsi:type="dcterms:W3CDTF">2018-11-05T14:26:00Z</dcterms:created>
  <dcterms:modified xsi:type="dcterms:W3CDTF">2018-11-08T11:30:00Z</dcterms:modified>
</cp:coreProperties>
</file>