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85729" w14:textId="053C31CE" w:rsidR="008462A1" w:rsidRPr="008462A1" w:rsidRDefault="008462A1" w:rsidP="008462A1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8462A1">
        <w:rPr>
          <w:rFonts w:ascii="Calibri" w:eastAsia="Calibri" w:hAnsi="Calibri" w:cs="Times New Roman"/>
          <w:b/>
        </w:rPr>
        <w:t>Mokinių raidos sutrikimai Klaipėdos rajono ugdymo įstaigose  20</w:t>
      </w:r>
      <w:r>
        <w:rPr>
          <w:rFonts w:ascii="Calibri" w:eastAsia="Calibri" w:hAnsi="Calibri" w:cs="Times New Roman"/>
          <w:b/>
        </w:rPr>
        <w:t>20</w:t>
      </w:r>
      <w:r w:rsidRPr="008462A1">
        <w:rPr>
          <w:rFonts w:ascii="Calibri" w:eastAsia="Calibri" w:hAnsi="Calibri" w:cs="Times New Roman"/>
          <w:b/>
        </w:rPr>
        <w:t>-202</w:t>
      </w:r>
      <w:r>
        <w:rPr>
          <w:rFonts w:ascii="Calibri" w:eastAsia="Calibri" w:hAnsi="Calibri" w:cs="Times New Roman"/>
          <w:b/>
        </w:rPr>
        <w:t>1</w:t>
      </w:r>
      <w:r w:rsidRPr="008462A1">
        <w:rPr>
          <w:rFonts w:ascii="Calibri" w:eastAsia="Calibri" w:hAnsi="Calibri" w:cs="Times New Roman"/>
          <w:b/>
        </w:rPr>
        <w:t xml:space="preserve"> m. m.</w:t>
      </w:r>
    </w:p>
    <w:p w14:paraId="1494A19B" w14:textId="77777777" w:rsidR="008462A1" w:rsidRPr="008462A1" w:rsidRDefault="008462A1" w:rsidP="008462A1">
      <w:pPr>
        <w:spacing w:after="200" w:line="276" w:lineRule="auto"/>
        <w:rPr>
          <w:rFonts w:ascii="Verdana" w:eastAsia="Verdana" w:hAnsi="Verdana" w:cs="Times New Roman"/>
          <w:sz w:val="20"/>
          <w:szCs w:val="20"/>
        </w:rPr>
      </w:pPr>
      <w:r w:rsidRPr="008462A1">
        <w:rPr>
          <w:rFonts w:ascii="Verdana" w:eastAsia="Verdana" w:hAnsi="Verdana" w:cs="Times New Roman"/>
          <w:noProof/>
          <w:lang w:eastAsia="lt-LT"/>
        </w:rPr>
        <w:drawing>
          <wp:inline distT="0" distB="0" distL="0" distR="0" wp14:anchorId="21CBEF13" wp14:editId="456DE9B8">
            <wp:extent cx="9271591" cy="2892055"/>
            <wp:effectExtent l="0" t="0" r="6350" b="381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5086564" w14:textId="77777777" w:rsidR="008462A1" w:rsidRPr="008462A1" w:rsidRDefault="008462A1" w:rsidP="008462A1">
      <w:pPr>
        <w:spacing w:after="200" w:line="276" w:lineRule="auto"/>
        <w:rPr>
          <w:rFonts w:ascii="Times New Roman" w:eastAsia="Verdana" w:hAnsi="Times New Roman" w:cs="Times New Roman"/>
        </w:rPr>
      </w:pPr>
      <w:r w:rsidRPr="008462A1">
        <w:rPr>
          <w:rFonts w:ascii="Times New Roman" w:eastAsia="Times New Roman" w:hAnsi="Times New Roman" w:cs="Times New Roman"/>
          <w:lang w:eastAsia="lt-LT"/>
        </w:rPr>
        <w:tab/>
      </w:r>
      <w:r w:rsidRPr="008462A1">
        <w:rPr>
          <w:rFonts w:ascii="Verdana" w:eastAsia="Verdana" w:hAnsi="Verdana" w:cs="Times New Roman"/>
          <w:noProof/>
          <w:lang w:eastAsia="lt-LT"/>
        </w:rPr>
        <w:drawing>
          <wp:inline distT="0" distB="0" distL="0" distR="0" wp14:anchorId="2976AE43" wp14:editId="42E1D2E8">
            <wp:extent cx="9069572" cy="2424224"/>
            <wp:effectExtent l="0" t="0" r="17780" b="14605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E267C01" w14:textId="73B2ABDF" w:rsidR="008462A1" w:rsidRPr="008462A1" w:rsidRDefault="008462A1" w:rsidP="008462A1">
      <w:pPr>
        <w:spacing w:after="200" w:line="276" w:lineRule="auto"/>
        <w:rPr>
          <w:rFonts w:ascii="Times New Roman" w:eastAsia="Times New Roman" w:hAnsi="Times New Roman" w:cs="Times New Roman"/>
          <w:lang w:eastAsia="lt-LT"/>
        </w:rPr>
      </w:pPr>
      <w:r w:rsidRPr="008462A1">
        <w:rPr>
          <w:rFonts w:ascii="Times New Roman" w:eastAsia="Verdana" w:hAnsi="Times New Roman" w:cs="Times New Roman"/>
        </w:rPr>
        <w:t xml:space="preserve">     Parengė Klaipėdos r. PPT vyr. spec. pedagogė </w:t>
      </w:r>
      <w:r w:rsidRPr="008462A1">
        <w:rPr>
          <w:rFonts w:ascii="Times New Roman" w:eastAsia="Verdana" w:hAnsi="Times New Roman" w:cs="Times New Roman"/>
        </w:rPr>
        <w:tab/>
      </w:r>
      <w:r w:rsidRPr="008462A1">
        <w:rPr>
          <w:rFonts w:ascii="Times New Roman" w:eastAsia="Verdana" w:hAnsi="Times New Roman" w:cs="Times New Roman"/>
        </w:rPr>
        <w:tab/>
      </w:r>
      <w:r w:rsidRPr="008462A1">
        <w:rPr>
          <w:rFonts w:ascii="Times New Roman" w:eastAsia="Verdana" w:hAnsi="Times New Roman" w:cs="Times New Roman"/>
        </w:rPr>
        <w:tab/>
      </w:r>
      <w:r w:rsidRPr="008462A1">
        <w:rPr>
          <w:rFonts w:ascii="Times New Roman" w:eastAsia="Times New Roman" w:hAnsi="Times New Roman" w:cs="Times New Roman"/>
          <w:lang w:eastAsia="lt-LT"/>
        </w:rPr>
        <w:t xml:space="preserve">Vyginta </w:t>
      </w:r>
      <w:proofErr w:type="spellStart"/>
      <w:r w:rsidRPr="008462A1">
        <w:rPr>
          <w:rFonts w:ascii="Times New Roman" w:eastAsia="Times New Roman" w:hAnsi="Times New Roman" w:cs="Times New Roman"/>
          <w:lang w:eastAsia="lt-LT"/>
        </w:rPr>
        <w:t>Vaišvilaitė</w:t>
      </w:r>
      <w:proofErr w:type="spellEnd"/>
      <w:r w:rsidRPr="008462A1">
        <w:rPr>
          <w:rFonts w:ascii="Times New Roman" w:eastAsia="Times New Roman" w:hAnsi="Times New Roman" w:cs="Times New Roman"/>
          <w:lang w:eastAsia="lt-LT"/>
        </w:rPr>
        <w:tab/>
      </w:r>
    </w:p>
    <w:p w14:paraId="35700190" w14:textId="77777777" w:rsidR="008462A1" w:rsidRPr="008462A1" w:rsidRDefault="008462A1" w:rsidP="008462A1">
      <w:pPr>
        <w:spacing w:after="200" w:line="276" w:lineRule="auto"/>
        <w:rPr>
          <w:rFonts w:ascii="Calibri" w:eastAsia="Calibri" w:hAnsi="Calibri" w:cs="Times New Roman"/>
        </w:rPr>
      </w:pPr>
      <w:r w:rsidRPr="008462A1">
        <w:rPr>
          <w:rFonts w:ascii="Calibri" w:eastAsia="Calibri" w:hAnsi="Calibri" w:cs="Times New Roman"/>
          <w:noProof/>
          <w:lang w:eastAsia="lt-LT"/>
        </w:rPr>
        <w:lastRenderedPageBreak/>
        <w:drawing>
          <wp:inline distT="0" distB="0" distL="0" distR="0" wp14:anchorId="56D2C907" wp14:editId="44256F11">
            <wp:extent cx="9144000" cy="2711303"/>
            <wp:effectExtent l="0" t="0" r="0" b="13335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4F8CAEE" w14:textId="77777777" w:rsidR="008462A1" w:rsidRPr="008462A1" w:rsidRDefault="008462A1" w:rsidP="008462A1">
      <w:pPr>
        <w:spacing w:after="200" w:line="276" w:lineRule="auto"/>
        <w:rPr>
          <w:rFonts w:ascii="Calibri" w:eastAsia="Calibri" w:hAnsi="Calibri" w:cs="Times New Roman"/>
        </w:rPr>
      </w:pPr>
    </w:p>
    <w:p w14:paraId="778DC93A" w14:textId="77777777" w:rsidR="008462A1" w:rsidRPr="008462A1" w:rsidRDefault="008462A1" w:rsidP="008462A1">
      <w:pPr>
        <w:spacing w:after="200" w:line="276" w:lineRule="auto"/>
        <w:rPr>
          <w:rFonts w:ascii="Calibri" w:eastAsia="Calibri" w:hAnsi="Calibri" w:cs="Times New Roman"/>
        </w:rPr>
      </w:pPr>
      <w:r w:rsidRPr="008462A1">
        <w:rPr>
          <w:rFonts w:ascii="Calibri" w:eastAsia="Calibri" w:hAnsi="Calibri" w:cs="Times New Roman"/>
          <w:noProof/>
          <w:lang w:eastAsia="lt-LT"/>
        </w:rPr>
        <w:drawing>
          <wp:inline distT="0" distB="0" distL="0" distR="0" wp14:anchorId="43361D7C" wp14:editId="449A4DC3">
            <wp:extent cx="9239693" cy="2690038"/>
            <wp:effectExtent l="0" t="0" r="0" b="15240"/>
            <wp:docPr id="4" name="Diagra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56D9BD3" w14:textId="28788D4A" w:rsidR="008462A1" w:rsidRPr="008462A1" w:rsidRDefault="008462A1" w:rsidP="008462A1">
      <w:pPr>
        <w:spacing w:after="200" w:line="276" w:lineRule="auto"/>
        <w:rPr>
          <w:rFonts w:ascii="Times New Roman" w:eastAsia="Times New Roman" w:hAnsi="Times New Roman" w:cs="Times New Roman"/>
          <w:lang w:eastAsia="lt-LT"/>
        </w:rPr>
      </w:pPr>
      <w:r w:rsidRPr="008462A1">
        <w:rPr>
          <w:rFonts w:ascii="Times New Roman" w:eastAsia="Verdana" w:hAnsi="Times New Roman" w:cs="Times New Roman"/>
        </w:rPr>
        <w:t xml:space="preserve">Parengė Klaipėdos r. PPT vyr. spec. pedagogė </w:t>
      </w:r>
      <w:r w:rsidRPr="008462A1">
        <w:rPr>
          <w:rFonts w:ascii="Times New Roman" w:eastAsia="Verdana" w:hAnsi="Times New Roman" w:cs="Times New Roman"/>
        </w:rPr>
        <w:tab/>
      </w:r>
      <w:r w:rsidRPr="008462A1">
        <w:rPr>
          <w:rFonts w:ascii="Times New Roman" w:eastAsia="Verdana" w:hAnsi="Times New Roman" w:cs="Times New Roman"/>
        </w:rPr>
        <w:tab/>
      </w:r>
      <w:r w:rsidRPr="008462A1">
        <w:rPr>
          <w:rFonts w:ascii="Times New Roman" w:eastAsia="Verdana" w:hAnsi="Times New Roman" w:cs="Times New Roman"/>
        </w:rPr>
        <w:tab/>
      </w:r>
      <w:r w:rsidRPr="008462A1">
        <w:rPr>
          <w:rFonts w:ascii="Times New Roman" w:eastAsia="Times New Roman" w:hAnsi="Times New Roman" w:cs="Times New Roman"/>
          <w:lang w:eastAsia="lt-LT"/>
        </w:rPr>
        <w:t xml:space="preserve">Vyginta </w:t>
      </w:r>
      <w:proofErr w:type="spellStart"/>
      <w:r w:rsidRPr="008462A1">
        <w:rPr>
          <w:rFonts w:ascii="Times New Roman" w:eastAsia="Times New Roman" w:hAnsi="Times New Roman" w:cs="Times New Roman"/>
          <w:lang w:eastAsia="lt-LT"/>
        </w:rPr>
        <w:t>Vaišvilaitė</w:t>
      </w:r>
      <w:proofErr w:type="spellEnd"/>
      <w:r w:rsidRPr="008462A1">
        <w:rPr>
          <w:rFonts w:ascii="Times New Roman" w:eastAsia="Times New Roman" w:hAnsi="Times New Roman" w:cs="Times New Roman"/>
          <w:lang w:eastAsia="lt-LT"/>
        </w:rPr>
        <w:tab/>
      </w:r>
    </w:p>
    <w:p w14:paraId="28FFBAE8" w14:textId="793DE6EF" w:rsidR="008462A1" w:rsidRDefault="008462A1" w:rsidP="008462A1">
      <w:pPr>
        <w:spacing w:after="200" w:line="276" w:lineRule="auto"/>
        <w:rPr>
          <w:rFonts w:ascii="Calibri" w:eastAsia="Calibri" w:hAnsi="Calibri" w:cs="Times New Roman"/>
        </w:rPr>
      </w:pPr>
    </w:p>
    <w:p w14:paraId="56D1500A" w14:textId="2082C2E5" w:rsidR="00215D9C" w:rsidRPr="008462A1" w:rsidRDefault="00215D9C" w:rsidP="008462A1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 wp14:anchorId="537B8470" wp14:editId="7B5E5AE6">
            <wp:extent cx="9582150" cy="4562475"/>
            <wp:effectExtent l="0" t="0" r="0" b="9525"/>
            <wp:docPr id="7" name="Diagrama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5B2142B" w14:textId="7826880A" w:rsidR="008462A1" w:rsidRPr="008462A1" w:rsidRDefault="008462A1" w:rsidP="008462A1">
      <w:pPr>
        <w:spacing w:after="200" w:line="276" w:lineRule="auto"/>
        <w:rPr>
          <w:rFonts w:ascii="Calibri" w:eastAsia="Calibri" w:hAnsi="Calibri" w:cs="Times New Roman"/>
        </w:rPr>
      </w:pPr>
    </w:p>
    <w:p w14:paraId="4A89EB99" w14:textId="2AC7BEFD" w:rsidR="00ED2C87" w:rsidRDefault="008462A1" w:rsidP="008462A1">
      <w:pPr>
        <w:spacing w:after="200" w:line="276" w:lineRule="auto"/>
      </w:pPr>
      <w:r w:rsidRPr="008462A1">
        <w:rPr>
          <w:rFonts w:ascii="Times New Roman" w:eastAsia="Verdana" w:hAnsi="Times New Roman" w:cs="Times New Roman"/>
        </w:rPr>
        <w:t xml:space="preserve">Parengė Klaipėdos r. PPT vyr. spec. pedagogė </w:t>
      </w:r>
      <w:r w:rsidRPr="008462A1">
        <w:rPr>
          <w:rFonts w:ascii="Times New Roman" w:eastAsia="Verdana" w:hAnsi="Times New Roman" w:cs="Times New Roman"/>
        </w:rPr>
        <w:tab/>
      </w:r>
      <w:r w:rsidRPr="008462A1">
        <w:rPr>
          <w:rFonts w:ascii="Times New Roman" w:eastAsia="Verdana" w:hAnsi="Times New Roman" w:cs="Times New Roman"/>
        </w:rPr>
        <w:tab/>
      </w:r>
      <w:r w:rsidRPr="008462A1">
        <w:rPr>
          <w:rFonts w:ascii="Times New Roman" w:eastAsia="Verdana" w:hAnsi="Times New Roman" w:cs="Times New Roman"/>
        </w:rPr>
        <w:tab/>
      </w:r>
      <w:r w:rsidR="0075500F">
        <w:rPr>
          <w:rFonts w:ascii="Times New Roman" w:eastAsia="Verdana" w:hAnsi="Times New Roman" w:cs="Times New Roman"/>
        </w:rPr>
        <w:tab/>
        <w:t xml:space="preserve">     </w:t>
      </w:r>
      <w:r w:rsidRPr="008462A1">
        <w:rPr>
          <w:rFonts w:ascii="Times New Roman" w:eastAsia="Times New Roman" w:hAnsi="Times New Roman" w:cs="Times New Roman"/>
          <w:lang w:eastAsia="lt-LT"/>
        </w:rPr>
        <w:t xml:space="preserve">Vyginta </w:t>
      </w:r>
      <w:proofErr w:type="spellStart"/>
      <w:r w:rsidRPr="008462A1">
        <w:rPr>
          <w:rFonts w:ascii="Times New Roman" w:eastAsia="Times New Roman" w:hAnsi="Times New Roman" w:cs="Times New Roman"/>
          <w:lang w:eastAsia="lt-LT"/>
        </w:rPr>
        <w:t>Vaišvilaitė</w:t>
      </w:r>
      <w:proofErr w:type="spellEnd"/>
    </w:p>
    <w:sectPr w:rsidR="00ED2C87" w:rsidSect="00ED6284">
      <w:pgSz w:w="16838" w:h="11906" w:orient="landscape"/>
      <w:pgMar w:top="1134" w:right="138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A1"/>
    <w:rsid w:val="00215D9C"/>
    <w:rsid w:val="00241BD0"/>
    <w:rsid w:val="00330416"/>
    <w:rsid w:val="00594DDD"/>
    <w:rsid w:val="005C3CC8"/>
    <w:rsid w:val="0065231E"/>
    <w:rsid w:val="00727575"/>
    <w:rsid w:val="0075500F"/>
    <w:rsid w:val="008462A1"/>
    <w:rsid w:val="00B24A75"/>
    <w:rsid w:val="00B35785"/>
    <w:rsid w:val="00C8791B"/>
    <w:rsid w:val="00D916BB"/>
    <w:rsid w:val="00ED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2D47"/>
  <w15:chartTrackingRefBased/>
  <w15:docId w15:val="{32E6944C-474C-4C03-B4BF-AF767919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1703861503613417"/>
          <c:y val="0"/>
          <c:w val="0.52133770784323852"/>
          <c:h val="0.927154912337420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Negalios 167</c:v>
                </c:pt>
              </c:strCache>
            </c:strRef>
          </c:tx>
          <c:invertIfNegative val="0"/>
          <c:dLbls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D2D-420E-8BE5-518C7AFF8958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D2D-420E-8BE5-518C7AFF8958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D2D-420E-8BE5-518C7AFF8958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D2D-420E-8BE5-518C7AFF8958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D2D-420E-8BE5-518C7AFF8958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D2D-420E-8BE5-518C7AFF8958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D2D-420E-8BE5-518C7AFF8958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D2D-420E-8BE5-518C7AFF8958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D2D-420E-8BE5-518C7AFF8958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Lapas1!$A$2:$A$16</c:f>
              <c:strCache>
                <c:ptCount val="15"/>
                <c:pt idx="0">
                  <c:v>Intelekto sutrikimas</c:v>
                </c:pt>
                <c:pt idx="1">
                  <c:v>Regos sutrikimas</c:v>
                </c:pt>
                <c:pt idx="2">
                  <c:v>Klausos sutrikimas</c:v>
                </c:pt>
                <c:pt idx="3">
                  <c:v>Judesio ir padėties bei neurologiniai sutrikimai</c:v>
                </c:pt>
                <c:pt idx="4">
                  <c:v>Įvairiapusiai raidos sutrikimai</c:v>
                </c:pt>
                <c:pt idx="5">
                  <c:v>Kompleksinė negalia</c:v>
                </c:pt>
                <c:pt idx="6">
                  <c:v>Specifiniai mokymosi sutrikimai</c:v>
                </c:pt>
                <c:pt idx="7">
                  <c:v>Elgesio ir/ar emocijų sutrikimai</c:v>
                </c:pt>
                <c:pt idx="8">
                  <c:v>Bendrieji mokymosi sutrikimai</c:v>
                </c:pt>
                <c:pt idx="9">
                  <c:v>Kalbos ir kalbėjimo sutrikimai</c:v>
                </c:pt>
                <c:pt idx="10">
                  <c:v>Kompleksinis sutrikimas</c:v>
                </c:pt>
                <c:pt idx="11">
                  <c:v>Sulėtėjusi raida</c:v>
                </c:pt>
                <c:pt idx="12">
                  <c:v>Krizės, sveikatos problemos</c:v>
                </c:pt>
                <c:pt idx="13">
                  <c:v>Nepalankūs aplinkos veiksniai</c:v>
                </c:pt>
                <c:pt idx="14">
                  <c:v>Besimokantys negimtąja kalba/gyvenantys kt. kalbinėje aplinkoje</c:v>
                </c:pt>
              </c:strCache>
            </c:strRef>
          </c:cat>
          <c:val>
            <c:numRef>
              <c:f>Lapas1!$B$2:$B$16</c:f>
              <c:numCache>
                <c:formatCode>General</c:formatCode>
                <c:ptCount val="15"/>
                <c:pt idx="0">
                  <c:v>62</c:v>
                </c:pt>
                <c:pt idx="1">
                  <c:v>2</c:v>
                </c:pt>
                <c:pt idx="2">
                  <c:v>9</c:v>
                </c:pt>
                <c:pt idx="3">
                  <c:v>23</c:v>
                </c:pt>
                <c:pt idx="4">
                  <c:v>40</c:v>
                </c:pt>
                <c:pt idx="5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8D2D-420E-8BE5-518C7AFF8958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Mokymosi sutrikimai 1429</c:v>
                </c:pt>
              </c:strCache>
            </c:strRef>
          </c:tx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D2D-420E-8BE5-518C7AFF8958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D2D-420E-8BE5-518C7AFF8958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D2D-420E-8BE5-518C7AFF8958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D2D-420E-8BE5-518C7AFF8958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D2D-420E-8BE5-518C7AFF8958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D2D-420E-8BE5-518C7AFF8958}"/>
                </c:ext>
              </c:extLst>
            </c:dLbl>
            <c:dLbl>
              <c:idx val="7"/>
              <c:layout>
                <c:manualLayout>
                  <c:x val="0"/>
                  <c:y val="-1.282051282051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D2D-420E-8BE5-518C7AFF8958}"/>
                </c:ext>
              </c:extLst>
            </c:dLbl>
            <c:dLbl>
              <c:idx val="8"/>
              <c:layout>
                <c:manualLayout>
                  <c:x val="5.4800734846910306E-3"/>
                  <c:y val="-8.54691181784903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D2D-420E-8BE5-518C7AFF8958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D2D-420E-8BE5-518C7AFF8958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D2D-420E-8BE5-518C7AFF8958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8D2D-420E-8BE5-518C7AFF8958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8D2D-420E-8BE5-518C7AFF8958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8D2D-420E-8BE5-518C7AFF8958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8D2D-420E-8BE5-518C7AFF8958}"/>
                </c:ext>
              </c:extLst>
            </c:dLbl>
            <c:spPr>
              <a:noFill/>
              <a:effectLst/>
              <a:scene3d>
                <a:camera prst="orthographicFront"/>
                <a:lightRig rig="threePt" dir="t"/>
              </a:scene3d>
              <a:sp3d>
                <a:bevelB w="165100" prst="coolSlant"/>
              </a:sp3d>
            </c:spPr>
            <c:txPr>
              <a:bodyPr/>
              <a:lstStyle/>
              <a:p>
                <a:pPr>
                  <a:defRPr sz="9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Lapas1!$A$2:$A$16</c:f>
              <c:strCache>
                <c:ptCount val="15"/>
                <c:pt idx="0">
                  <c:v>Intelekto sutrikimas</c:v>
                </c:pt>
                <c:pt idx="1">
                  <c:v>Regos sutrikimas</c:v>
                </c:pt>
                <c:pt idx="2">
                  <c:v>Klausos sutrikimas</c:v>
                </c:pt>
                <c:pt idx="3">
                  <c:v>Judesio ir padėties bei neurologiniai sutrikimai</c:v>
                </c:pt>
                <c:pt idx="4">
                  <c:v>Įvairiapusiai raidos sutrikimai</c:v>
                </c:pt>
                <c:pt idx="5">
                  <c:v>Kompleksinė negalia</c:v>
                </c:pt>
                <c:pt idx="6">
                  <c:v>Specifiniai mokymosi sutrikimai</c:v>
                </c:pt>
                <c:pt idx="7">
                  <c:v>Elgesio ir/ar emocijų sutrikimai</c:v>
                </c:pt>
                <c:pt idx="8">
                  <c:v>Bendrieji mokymosi sutrikimai</c:v>
                </c:pt>
                <c:pt idx="9">
                  <c:v>Kalbos ir kalbėjimo sutrikimai</c:v>
                </c:pt>
                <c:pt idx="10">
                  <c:v>Kompleksinis sutrikimas</c:v>
                </c:pt>
                <c:pt idx="11">
                  <c:v>Sulėtėjusi raida</c:v>
                </c:pt>
                <c:pt idx="12">
                  <c:v>Krizės, sveikatos problemos</c:v>
                </c:pt>
                <c:pt idx="13">
                  <c:v>Nepalankūs aplinkos veiksniai</c:v>
                </c:pt>
                <c:pt idx="14">
                  <c:v>Besimokantys negimtąja kalba/gyvenantys kt. kalbinėje aplinkoje</c:v>
                </c:pt>
              </c:strCache>
            </c:strRef>
          </c:cat>
          <c:val>
            <c:numRef>
              <c:f>Lapas1!$C$2:$C$16</c:f>
              <c:numCache>
                <c:formatCode>General</c:formatCode>
                <c:ptCount val="15"/>
                <c:pt idx="6">
                  <c:v>73</c:v>
                </c:pt>
                <c:pt idx="7">
                  <c:v>43</c:v>
                </c:pt>
                <c:pt idx="8">
                  <c:v>52</c:v>
                </c:pt>
                <c:pt idx="9">
                  <c:v>1023</c:v>
                </c:pt>
                <c:pt idx="10">
                  <c:v>238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8D2D-420E-8BE5-518C7AFF8958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Mokymosi sunkumai 130</c:v>
                </c:pt>
              </c:strCache>
            </c:strRef>
          </c:tx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8D2D-420E-8BE5-518C7AFF8958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8D2D-420E-8BE5-518C7AFF8958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8D2D-420E-8BE5-518C7AFF8958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8D2D-420E-8BE5-518C7AFF8958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8D2D-420E-8BE5-518C7AFF8958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8D2D-420E-8BE5-518C7AFF8958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8D2D-420E-8BE5-518C7AFF8958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8D2D-420E-8BE5-518C7AFF8958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8D2D-420E-8BE5-518C7AFF8958}"/>
                </c:ext>
              </c:extLst>
            </c:dLbl>
            <c:dLbl>
              <c:idx val="9"/>
              <c:layout>
                <c:manualLayout>
                  <c:x val="0.35900776615251861"/>
                  <c:y val="4.0921021235981467E-3"/>
                </c:manualLayout>
              </c:layout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en-US"/>
                      <a:t>1023</a:t>
                    </a:r>
                  </a:p>
                </c:rich>
              </c:tx>
              <c:spPr>
                <a:effectLst>
                  <a:glow rad="127000">
                    <a:schemeClr val="bg1">
                      <a:lumMod val="95000"/>
                    </a:schemeClr>
                  </a:glow>
                </a:effectLst>
                <a:scene3d>
                  <a:camera prst="orthographicFront"/>
                  <a:lightRig rig="threePt" dir="t"/>
                </a:scene3d>
                <a:sp3d>
                  <a:bevelB w="165100" prst="coolSlant"/>
                </a:sp3d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9561643835616438E-2"/>
                      <c:h val="4.3653930610452342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22-8D2D-420E-8BE5-518C7AFF8958}"/>
                </c:ext>
              </c:extLst>
            </c:dLbl>
            <c:dLbl>
              <c:idx val="10"/>
              <c:layout>
                <c:manualLayout>
                  <c:x val="0.10273306922188441"/>
                  <c:y val="7.653035644204553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23-8D2D-420E-8BE5-518C7AFF8958}"/>
                </c:ext>
              </c:extLst>
            </c:dLbl>
            <c:spPr>
              <a:scene3d>
                <a:camera prst="orthographicFront"/>
                <a:lightRig rig="threePt" dir="t"/>
              </a:scene3d>
              <a:sp3d>
                <a:bevelB w="165100" prst="coolSlant"/>
              </a:sp3d>
            </c:spPr>
            <c:txPr>
              <a:bodyPr/>
              <a:lstStyle/>
              <a:p>
                <a:pPr>
                  <a:defRPr sz="9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Lapas1!$A$2:$A$16</c:f>
              <c:strCache>
                <c:ptCount val="15"/>
                <c:pt idx="0">
                  <c:v>Intelekto sutrikimas</c:v>
                </c:pt>
                <c:pt idx="1">
                  <c:v>Regos sutrikimas</c:v>
                </c:pt>
                <c:pt idx="2">
                  <c:v>Klausos sutrikimas</c:v>
                </c:pt>
                <c:pt idx="3">
                  <c:v>Judesio ir padėties bei neurologiniai sutrikimai</c:v>
                </c:pt>
                <c:pt idx="4">
                  <c:v>Įvairiapusiai raidos sutrikimai</c:v>
                </c:pt>
                <c:pt idx="5">
                  <c:v>Kompleksinė negalia</c:v>
                </c:pt>
                <c:pt idx="6">
                  <c:v>Specifiniai mokymosi sutrikimai</c:v>
                </c:pt>
                <c:pt idx="7">
                  <c:v>Elgesio ir/ar emocijų sutrikimai</c:v>
                </c:pt>
                <c:pt idx="8">
                  <c:v>Bendrieji mokymosi sutrikimai</c:v>
                </c:pt>
                <c:pt idx="9">
                  <c:v>Kalbos ir kalbėjimo sutrikimai</c:v>
                </c:pt>
                <c:pt idx="10">
                  <c:v>Kompleksinis sutrikimas</c:v>
                </c:pt>
                <c:pt idx="11">
                  <c:v>Sulėtėjusi raida</c:v>
                </c:pt>
                <c:pt idx="12">
                  <c:v>Krizės, sveikatos problemos</c:v>
                </c:pt>
                <c:pt idx="13">
                  <c:v>Nepalankūs aplinkos veiksniai</c:v>
                </c:pt>
                <c:pt idx="14">
                  <c:v>Besimokantys negimtąja kalba/gyvenantys kt. kalbinėje aplinkoje</c:v>
                </c:pt>
              </c:strCache>
            </c:strRef>
          </c:cat>
          <c:val>
            <c:numRef>
              <c:f>Lapas1!$D$2:$D$16</c:f>
              <c:numCache>
                <c:formatCode>General</c:formatCode>
                <c:ptCount val="15"/>
                <c:pt idx="11">
                  <c:v>83</c:v>
                </c:pt>
                <c:pt idx="12">
                  <c:v>5</c:v>
                </c:pt>
                <c:pt idx="13">
                  <c:v>38</c:v>
                </c:pt>
                <c:pt idx="1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4-8D2D-420E-8BE5-518C7AFF89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931840"/>
        <c:axId val="141873088"/>
      </c:barChart>
      <c:catAx>
        <c:axId val="88931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lt-LT"/>
          </a:p>
        </c:txPr>
        <c:crossAx val="141873088"/>
        <c:crosses val="autoZero"/>
        <c:auto val="1"/>
        <c:lblAlgn val="ctr"/>
        <c:lblOffset val="100"/>
        <c:noMultiLvlLbl val="0"/>
      </c:catAx>
      <c:valAx>
        <c:axId val="14187308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lt-LT"/>
          </a:p>
        </c:txPr>
        <c:crossAx val="88931840"/>
        <c:crosses val="autoZero"/>
        <c:crossBetween val="between"/>
      </c:valAx>
      <c:spPr>
        <a:effectLst>
          <a:innerShdw blurRad="63500" dist="50800" dir="8100000">
            <a:prstClr val="black">
              <a:alpha val="50000"/>
            </a:prstClr>
          </a:innerShdw>
        </a:effectLst>
      </c:spPr>
    </c:plotArea>
    <c:legend>
      <c:legendPos val="r"/>
      <c:layout>
        <c:manualLayout>
          <c:xMode val="edge"/>
          <c:yMode val="edge"/>
          <c:x val="0.85628551396828811"/>
          <c:y val="3.7488199350575249E-2"/>
          <c:w val="0.12322243892175348"/>
          <c:h val="0.73595463084880619"/>
        </c:manualLayout>
      </c:layout>
      <c:overlay val="1"/>
      <c:txPr>
        <a:bodyPr/>
        <a:lstStyle/>
        <a:p>
          <a:pPr>
            <a:defRPr sz="11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lt-LT" sz="1400"/>
              <a:t>SUP mokiniai Klaipėdos r. švietimo įstaigose 2020-2021 m. m.  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599108934912566E-3"/>
          <c:y val="0.23991761978657777"/>
          <c:w val="0.5960310108295287"/>
          <c:h val="0.6568557579937544"/>
        </c:manualLayout>
      </c:layout>
      <c:pie3D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SUP mokiniai Klaipėdos r. švietimo įstaigose </c:v>
                </c:pt>
              </c:strCache>
            </c:strRef>
          </c:tx>
          <c:dLbls>
            <c:dLbl>
              <c:idx val="0"/>
              <c:layout>
                <c:manualLayout>
                  <c:x val="-7.5104613813764806E-2"/>
                  <c:y val="2.881761865174246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247-458C-8E10-74149DC80D2A}"/>
                </c:ext>
              </c:extLst>
            </c:dLbl>
            <c:dLbl>
              <c:idx val="1"/>
              <c:layout>
                <c:manualLayout>
                  <c:x val="7.5282250550497462E-2"/>
                  <c:y val="-0.1196359428086946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247-458C-8E10-74149DC80D2A}"/>
                </c:ext>
              </c:extLst>
            </c:dLbl>
            <c:dLbl>
              <c:idx val="2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247-458C-8E10-74149DC80D2A}"/>
                </c:ext>
              </c:extLst>
            </c:dLbl>
            <c:dLbl>
              <c:idx val="4"/>
              <c:layout>
                <c:manualLayout>
                  <c:x val="9.1467592597697447E-2"/>
                  <c:y val="-0.1038689328099117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lt-LT"/>
                      <a:t>58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9247-458C-8E10-74149DC80D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lt-LT"/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Lapas1!$A$2:$A$4</c:f>
              <c:strCache>
                <c:ptCount val="3"/>
                <c:pt idx="0">
                  <c:v>Besimokantys pagal ikimokyklinio ir priešmokyklinio ugdymo programas</c:v>
                </c:pt>
                <c:pt idx="1">
                  <c:v>Besimokantys pagal pradinio, pagrindinio, vidurinio ugdymo programas</c:v>
                </c:pt>
                <c:pt idx="2">
                  <c:v>Iš viso 1556</c:v>
                </c:pt>
              </c:strCache>
            </c:strRef>
          </c:cat>
          <c:val>
            <c:numRef>
              <c:f>Lapas1!$B$2:$B$4</c:f>
              <c:numCache>
                <c:formatCode>General</c:formatCode>
                <c:ptCount val="3"/>
                <c:pt idx="0">
                  <c:v>724</c:v>
                </c:pt>
                <c:pt idx="1">
                  <c:v>832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247-458C-8E10-74149DC80D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853117625002763"/>
          <c:y val="0.19007876748755786"/>
          <c:w val="0.37179701801980636"/>
          <c:h val="0.7272271269181031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lt-LT"/>
              <a:t>Kompleksinių negalių sudėtis 2020-20210 m. m.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Kompleksinių negalių sudėtis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Lapas1!$A$2:$A$5</c:f>
              <c:strCache>
                <c:ptCount val="4"/>
                <c:pt idx="0">
                  <c:v>Intelekto sutrikimas</c:v>
                </c:pt>
                <c:pt idx="1">
                  <c:v>Klausos sutrikimas</c:v>
                </c:pt>
                <c:pt idx="2">
                  <c:v>Judesio ir padėties bei neurologiniai sutrikimai</c:v>
                </c:pt>
                <c:pt idx="3">
                  <c:v>Įvairiapusiai raidos sutrikimai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26</c:v>
                </c:pt>
                <c:pt idx="1">
                  <c:v>2</c:v>
                </c:pt>
                <c:pt idx="2">
                  <c:v>31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4A-4E4C-A85F-AF06D23D2E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609612860892383"/>
          <c:y val="0.31049088896487542"/>
          <c:w val="0.35168164916885392"/>
          <c:h val="0.47217636228488075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lt-LT"/>
              <a:t>Kompleksinių sutrikimų sudėtis 2020-2021 m. m.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Kompleksinių sutrikimų sudėtis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Lapas1!$A$2:$A$5</c:f>
              <c:strCache>
                <c:ptCount val="4"/>
                <c:pt idx="0">
                  <c:v>Specifiniai mokymosi sutrikimai</c:v>
                </c:pt>
                <c:pt idx="1">
                  <c:v>Elgesio ir emocijų sutrikimai</c:v>
                </c:pt>
                <c:pt idx="2">
                  <c:v> Bendrieji mokymosi sutrikimai</c:v>
                </c:pt>
                <c:pt idx="3">
                  <c:v>Kalbos ir kalbėjimo sutrikimai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132</c:v>
                </c:pt>
                <c:pt idx="1">
                  <c:v>226</c:v>
                </c:pt>
                <c:pt idx="2">
                  <c:v>27</c:v>
                </c:pt>
                <c:pt idx="3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29-4BEE-9D8D-6AB63E1E26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110788213329003"/>
          <c:y val="0.24502316105670927"/>
          <c:w val="0.34667207836133884"/>
          <c:h val="0.59704966057713038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>
                <a:latin typeface="Arial Narrow" panose="020B0606020202030204" pitchFamily="34" charset="0"/>
              </a:rPr>
              <a:t>Negalių, sutrikimų,  sunkumų pasiskirstymas</a:t>
            </a:r>
            <a:r>
              <a:rPr lang="lt-LT" baseline="0">
                <a:latin typeface="Arial Narrow" panose="020B0606020202030204" pitchFamily="34" charset="0"/>
              </a:rPr>
              <a:t> 2018-2020m. (lyginamoji analizė)</a:t>
            </a:r>
            <a:endParaRPr lang="lt-LT">
              <a:latin typeface="Arial Narrow" panose="020B060602020203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2018-2019m.m.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Lapas1!$A$2:$A$16</c:f>
              <c:strCache>
                <c:ptCount val="15"/>
                <c:pt idx="0">
                  <c:v>Intelekto sutrikimas</c:v>
                </c:pt>
                <c:pt idx="1">
                  <c:v>Regos sutrikimas</c:v>
                </c:pt>
                <c:pt idx="2">
                  <c:v>Klausos sutrikimas</c:v>
                </c:pt>
                <c:pt idx="3">
                  <c:v>Judesio, padėties, neurologiniai sutr.</c:v>
                </c:pt>
                <c:pt idx="4">
                  <c:v>Įvairiapusiai raidos sutrikimai</c:v>
                </c:pt>
                <c:pt idx="5">
                  <c:v>Kompleksinė negalia</c:v>
                </c:pt>
                <c:pt idx="6">
                  <c:v>Specifiniai mokymosi sutrikimai</c:v>
                </c:pt>
                <c:pt idx="7">
                  <c:v>Elgesio, emocijų sutrikimai</c:v>
                </c:pt>
                <c:pt idx="8">
                  <c:v>Bendrieji mokymosi sutrikimai</c:v>
                </c:pt>
                <c:pt idx="9">
                  <c:v>Kalbėjimo ir kalbos sutrikimai</c:v>
                </c:pt>
                <c:pt idx="10">
                  <c:v>Kompleksinis sutrikimas</c:v>
                </c:pt>
                <c:pt idx="11">
                  <c:v>Besimokantys ne gimtąja kalba</c:v>
                </c:pt>
                <c:pt idx="12">
                  <c:v>Sulėtėjusi raida</c:v>
                </c:pt>
                <c:pt idx="13">
                  <c:v>Emocinės krizės, sveikatos problemos</c:v>
                </c:pt>
                <c:pt idx="14">
                  <c:v>Nepalankūs aplinkos veiksniai</c:v>
                </c:pt>
              </c:strCache>
            </c:strRef>
          </c:cat>
          <c:val>
            <c:numRef>
              <c:f>Lapas1!$B$2:$B$16</c:f>
              <c:numCache>
                <c:formatCode>General</c:formatCode>
                <c:ptCount val="15"/>
                <c:pt idx="0">
                  <c:v>63</c:v>
                </c:pt>
                <c:pt idx="1">
                  <c:v>2</c:v>
                </c:pt>
                <c:pt idx="2">
                  <c:v>8</c:v>
                </c:pt>
                <c:pt idx="3">
                  <c:v>27</c:v>
                </c:pt>
                <c:pt idx="4">
                  <c:v>36</c:v>
                </c:pt>
                <c:pt idx="5">
                  <c:v>31</c:v>
                </c:pt>
                <c:pt idx="6">
                  <c:v>72</c:v>
                </c:pt>
                <c:pt idx="7">
                  <c:v>33</c:v>
                </c:pt>
                <c:pt idx="8">
                  <c:v>41</c:v>
                </c:pt>
                <c:pt idx="9">
                  <c:v>1050</c:v>
                </c:pt>
                <c:pt idx="10">
                  <c:v>225</c:v>
                </c:pt>
                <c:pt idx="11">
                  <c:v>3</c:v>
                </c:pt>
                <c:pt idx="12">
                  <c:v>72</c:v>
                </c:pt>
                <c:pt idx="13">
                  <c:v>1</c:v>
                </c:pt>
                <c:pt idx="14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11-43CE-B855-FD1DD66B4568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2019-2020m.m.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Lapas1!$A$2:$A$16</c:f>
              <c:strCache>
                <c:ptCount val="15"/>
                <c:pt idx="0">
                  <c:v>Intelekto sutrikimas</c:v>
                </c:pt>
                <c:pt idx="1">
                  <c:v>Regos sutrikimas</c:v>
                </c:pt>
                <c:pt idx="2">
                  <c:v>Klausos sutrikimas</c:v>
                </c:pt>
                <c:pt idx="3">
                  <c:v>Judesio, padėties, neurologiniai sutr.</c:v>
                </c:pt>
                <c:pt idx="4">
                  <c:v>Įvairiapusiai raidos sutrikimai</c:v>
                </c:pt>
                <c:pt idx="5">
                  <c:v>Kompleksinė negalia</c:v>
                </c:pt>
                <c:pt idx="6">
                  <c:v>Specifiniai mokymosi sutrikimai</c:v>
                </c:pt>
                <c:pt idx="7">
                  <c:v>Elgesio, emocijų sutrikimai</c:v>
                </c:pt>
                <c:pt idx="8">
                  <c:v>Bendrieji mokymosi sutrikimai</c:v>
                </c:pt>
                <c:pt idx="9">
                  <c:v>Kalbėjimo ir kalbos sutrikimai</c:v>
                </c:pt>
                <c:pt idx="10">
                  <c:v>Kompleksinis sutrikimas</c:v>
                </c:pt>
                <c:pt idx="11">
                  <c:v>Besimokantys ne gimtąja kalba</c:v>
                </c:pt>
                <c:pt idx="12">
                  <c:v>Sulėtėjusi raida</c:v>
                </c:pt>
                <c:pt idx="13">
                  <c:v>Emocinės krizės, sveikatos problemos</c:v>
                </c:pt>
                <c:pt idx="14">
                  <c:v>Nepalankūs aplinkos veiksniai</c:v>
                </c:pt>
              </c:strCache>
            </c:strRef>
          </c:cat>
          <c:val>
            <c:numRef>
              <c:f>Lapas1!$C$2:$C$16</c:f>
              <c:numCache>
                <c:formatCode>General</c:formatCode>
                <c:ptCount val="15"/>
                <c:pt idx="0">
                  <c:v>58</c:v>
                </c:pt>
                <c:pt idx="1">
                  <c:v>2</c:v>
                </c:pt>
                <c:pt idx="2">
                  <c:v>11</c:v>
                </c:pt>
                <c:pt idx="3">
                  <c:v>23</c:v>
                </c:pt>
                <c:pt idx="4">
                  <c:v>37</c:v>
                </c:pt>
                <c:pt idx="5">
                  <c:v>34</c:v>
                </c:pt>
                <c:pt idx="6">
                  <c:v>83</c:v>
                </c:pt>
                <c:pt idx="7">
                  <c:v>34</c:v>
                </c:pt>
                <c:pt idx="8">
                  <c:v>41</c:v>
                </c:pt>
                <c:pt idx="9">
                  <c:v>1100</c:v>
                </c:pt>
                <c:pt idx="10">
                  <c:v>228</c:v>
                </c:pt>
                <c:pt idx="11">
                  <c:v>4</c:v>
                </c:pt>
                <c:pt idx="12">
                  <c:v>78</c:v>
                </c:pt>
                <c:pt idx="13">
                  <c:v>4</c:v>
                </c:pt>
                <c:pt idx="14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911-43CE-B855-FD1DD66B4568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2020-2021m.m.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Lapas1!$A$2:$A$16</c:f>
              <c:strCache>
                <c:ptCount val="15"/>
                <c:pt idx="0">
                  <c:v>Intelekto sutrikimas</c:v>
                </c:pt>
                <c:pt idx="1">
                  <c:v>Regos sutrikimas</c:v>
                </c:pt>
                <c:pt idx="2">
                  <c:v>Klausos sutrikimas</c:v>
                </c:pt>
                <c:pt idx="3">
                  <c:v>Judesio, padėties, neurologiniai sutr.</c:v>
                </c:pt>
                <c:pt idx="4">
                  <c:v>Įvairiapusiai raidos sutrikimai</c:v>
                </c:pt>
                <c:pt idx="5">
                  <c:v>Kompleksinė negalia</c:v>
                </c:pt>
                <c:pt idx="6">
                  <c:v>Specifiniai mokymosi sutrikimai</c:v>
                </c:pt>
                <c:pt idx="7">
                  <c:v>Elgesio, emocijų sutrikimai</c:v>
                </c:pt>
                <c:pt idx="8">
                  <c:v>Bendrieji mokymosi sutrikimai</c:v>
                </c:pt>
                <c:pt idx="9">
                  <c:v>Kalbėjimo ir kalbos sutrikimai</c:v>
                </c:pt>
                <c:pt idx="10">
                  <c:v>Kompleksinis sutrikimas</c:v>
                </c:pt>
                <c:pt idx="11">
                  <c:v>Besimokantys ne gimtąja kalba</c:v>
                </c:pt>
                <c:pt idx="12">
                  <c:v>Sulėtėjusi raida</c:v>
                </c:pt>
                <c:pt idx="13">
                  <c:v>Emocinės krizės, sveikatos problemos</c:v>
                </c:pt>
                <c:pt idx="14">
                  <c:v>Nepalankūs aplinkos veiksniai</c:v>
                </c:pt>
              </c:strCache>
            </c:strRef>
          </c:cat>
          <c:val>
            <c:numRef>
              <c:f>Lapas1!$D$2:$D$16</c:f>
              <c:numCache>
                <c:formatCode>General</c:formatCode>
                <c:ptCount val="15"/>
                <c:pt idx="0">
                  <c:v>62</c:v>
                </c:pt>
                <c:pt idx="1">
                  <c:v>2</c:v>
                </c:pt>
                <c:pt idx="2">
                  <c:v>9</c:v>
                </c:pt>
                <c:pt idx="3">
                  <c:v>23</c:v>
                </c:pt>
                <c:pt idx="4">
                  <c:v>40</c:v>
                </c:pt>
                <c:pt idx="5">
                  <c:v>31</c:v>
                </c:pt>
                <c:pt idx="6">
                  <c:v>73</c:v>
                </c:pt>
                <c:pt idx="7">
                  <c:v>43</c:v>
                </c:pt>
                <c:pt idx="8">
                  <c:v>52</c:v>
                </c:pt>
                <c:pt idx="9">
                  <c:v>1023</c:v>
                </c:pt>
                <c:pt idx="10">
                  <c:v>238</c:v>
                </c:pt>
                <c:pt idx="11">
                  <c:v>4</c:v>
                </c:pt>
                <c:pt idx="12">
                  <c:v>83</c:v>
                </c:pt>
                <c:pt idx="13">
                  <c:v>5</c:v>
                </c:pt>
                <c:pt idx="14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911-43CE-B855-FD1DD66B45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437892976"/>
        <c:axId val="437890352"/>
        <c:axId val="0"/>
      </c:bar3DChart>
      <c:catAx>
        <c:axId val="437892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lt-LT"/>
          </a:p>
        </c:txPr>
        <c:crossAx val="437890352"/>
        <c:crosses val="autoZero"/>
        <c:auto val="1"/>
        <c:lblAlgn val="ctr"/>
        <c:lblOffset val="100"/>
        <c:noMultiLvlLbl val="0"/>
      </c:catAx>
      <c:valAx>
        <c:axId val="437890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37892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„Office“ tema">
  <a:themeElements>
    <a:clrScheme name="Nuosvyra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Aspect">
    <a:majorFont>
      <a:latin typeface="Verdana"/>
      <a:ea typeface=""/>
      <a:cs typeface=""/>
      <a:font script="Jpan" typeface="ＭＳ ゴシック"/>
      <a:font script="Hang" typeface="굴림"/>
      <a:font script="Hans" typeface="微软雅黑"/>
      <a:font script="Hant" typeface="微軟正黑體"/>
      <a:font script="Arab" typeface="Tahoma"/>
      <a:font script="Hebr" typeface="Tahoma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</a:majorFont>
    <a:minorFont>
      <a:latin typeface="Verdana"/>
      <a:ea typeface=""/>
      <a:cs typeface=""/>
      <a:font script="Jpan" typeface="ＭＳ ゴシック"/>
      <a:font script="Hang" typeface="굴림"/>
      <a:font script="Hans" typeface="微软雅黑"/>
      <a:font script="Hant" typeface="微軟正黑體"/>
      <a:font script="Arab" typeface="Tahoma"/>
      <a:font script="Hebr" typeface="Tahoma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196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Vyginta Pranienė</dc:creator>
  <cp:keywords/>
  <dc:description/>
  <cp:lastModifiedBy>Vyginta Pranienė</cp:lastModifiedBy>
  <cp:revision>7</cp:revision>
  <dcterms:created xsi:type="dcterms:W3CDTF">2020-10-07T06:03:00Z</dcterms:created>
  <dcterms:modified xsi:type="dcterms:W3CDTF">2020-10-13T09:28:00Z</dcterms:modified>
</cp:coreProperties>
</file>