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6B" w:rsidRDefault="00741F29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6C6B" w:rsidRDefault="002A6C6B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2A6C6B" w:rsidRDefault="002A6C6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C6B" w:rsidRDefault="002A6C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2A6C6B" w:rsidRDefault="00741F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 xml:space="preserve"> m. kovo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2A6C6B" w:rsidRDefault="002A6C6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C6B" w:rsidRDefault="00741F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Ukrainos vaikai 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alia m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b/>
          <w:bCs/>
          <w:sz w:val="24"/>
          <w:szCs w:val="24"/>
        </w:rPr>
        <w:t xml:space="preserve">: kaip reaguoti 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jausmus ir elges</w:t>
      </w:r>
      <w:r>
        <w:rPr>
          <w:rFonts w:ascii="Times New Roman" w:hAnsi="Times New Roman"/>
          <w:b/>
          <w:bCs/>
          <w:sz w:val="24"/>
          <w:szCs w:val="24"/>
        </w:rPr>
        <w:t>į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Ukrainos atvyk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vaikai/paaugliai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gyvena skaud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vykius, 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net ir apsistoj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saugioje aplinkoje gali jaustis bei elgtis labai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vairiai: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jautr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>dirgl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s, li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dni, nerimauti ir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ti labai </w:t>
      </w:r>
      <w:proofErr w:type="spellStart"/>
      <w:r>
        <w:rPr>
          <w:rFonts w:ascii="Times New Roman" w:hAnsi="Times New Roman"/>
          <w:sz w:val="24"/>
          <w:szCs w:val="24"/>
        </w:rPr>
        <w:t>nerimastingi</w:t>
      </w:r>
      <w:proofErr w:type="spellEnd"/>
      <w:r>
        <w:rPr>
          <w:rFonts w:ascii="Times New Roman" w:hAnsi="Times New Roman"/>
          <w:sz w:val="24"/>
          <w:szCs w:val="24"/>
        </w:rPr>
        <w:t>, atsiriboj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bijoti arba stipriai pykti, taip pat gali atrodyti viskam abejingi arba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linksmi ir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siimti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iui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prastomis veiklomis,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stiprius besikei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emocij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protr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kius: verksmo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juoko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pyk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io. </w:t>
      </w:r>
    </w:p>
    <w:p w:rsidR="002A6C6B" w:rsidRDefault="002A6C6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psichologai rekomenduoja, kaip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 xml:space="preserve">Ukrainos atvykusiems vaikams  ir paaugliams pasijusti geriau? </w:t>
      </w:r>
    </w:p>
    <w:p w:rsidR="002A6C6B" w:rsidRDefault="002A6C6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Matote, kad vaikas/paauglys yra li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dnas, nerimauja ir bijo: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patikinkite, kad tai, kaip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iuo metu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iasi, y</w:t>
      </w:r>
      <w:r>
        <w:rPr>
          <w:rFonts w:ascii="Times New Roman" w:hAnsi="Times New Roman"/>
          <w:sz w:val="24"/>
          <w:szCs w:val="24"/>
        </w:rPr>
        <w:t>ra normalu, kad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ra blog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ar ger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nuraminkite, kad dabar jam pavojus negresia,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alia yra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kurie juo pasir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pins;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nespauskite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ir dalintis sunkumais,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kite, kad jeigu nor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gali su jumis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jeigu norite paguosti ir nuraminti apkabinimu, pirmiausia,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sitikinkite, ar vaikui/paaugliui toks fizinis kontaktas yra priimtinas (galite jo paklausti);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esniems vaikams nusiraminti gali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mink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aislai, antklod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velnukai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Pastebite, kad ja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iasi kaltas: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patikinkite, kad jis nekaltas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to, jog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jo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vykti/palikti artimuosius</w:t>
      </w:r>
      <w:r>
        <w:rPr>
          <w:rFonts w:ascii="Times New Roman" w:hAnsi="Times New Roman"/>
          <w:sz w:val="24"/>
          <w:szCs w:val="24"/>
          <w:lang w:val="en-US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augintinius;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kite, kad ne jo kalt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jeigu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uvo artimas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mogus.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Kai vaikas/paauglys stipriai pyksta: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prisiminkite, kad pyktis yra nat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rali reakcija, </w:t>
      </w:r>
      <w:r>
        <w:rPr>
          <w:rFonts w:ascii="Times New Roman" w:hAnsi="Times New Roman"/>
          <w:sz w:val="24"/>
          <w:szCs w:val="24"/>
        </w:rPr>
        <w:t>kuri da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nai kyla, susid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rus su sunkiais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gyvenimais;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leiskite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sakyti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nir</w:t>
      </w:r>
      <w:r>
        <w:rPr>
          <w:rFonts w:ascii="Times New Roman" w:hAnsi="Times New Roman"/>
          <w:sz w:val="24"/>
          <w:szCs w:val="24"/>
        </w:rPr>
        <w:t>šį</w:t>
      </w:r>
      <w:r>
        <w:rPr>
          <w:rFonts w:ascii="Times New Roman" w:hAnsi="Times New Roman"/>
          <w:sz w:val="24"/>
          <w:szCs w:val="24"/>
        </w:rPr>
        <w:t>, apmaud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ir pykt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stenkit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malonus/-i ir kantrus/-i,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ramiai;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vaiko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paauglio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pyk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nepriimkite asmeni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 kaip puolimo prie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jus.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Jeigu atrodo abejingas arba lin</w:t>
      </w:r>
      <w:r>
        <w:rPr>
          <w:rFonts w:ascii="Times New Roman" w:hAnsi="Times New Roman"/>
          <w:b/>
          <w:bCs/>
          <w:sz w:val="24"/>
          <w:szCs w:val="24"/>
        </w:rPr>
        <w:t>ksmas: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supraskite, kad visos reakcijos jam padeda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gyventi patirtus sunkumus ir gyventi toliau;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nesipiktinkite ir nesisteb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kite tokiu elgesiu;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nekritikuokite ir neg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dinkite.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Vaikas/paauglys klausia, kada gal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s gr</w:t>
      </w:r>
      <w:r>
        <w:rPr>
          <w:rFonts w:ascii="Times New Roman" w:hAnsi="Times New Roman"/>
          <w:b/>
          <w:bCs/>
          <w:sz w:val="24"/>
          <w:szCs w:val="24"/>
        </w:rPr>
        <w:t>įž</w:t>
      </w:r>
      <w:r>
        <w:rPr>
          <w:rFonts w:ascii="Times New Roman" w:hAnsi="Times New Roman"/>
          <w:b/>
          <w:bCs/>
          <w:sz w:val="24"/>
          <w:szCs w:val="24"/>
        </w:rPr>
        <w:t>ti namo, kur jo 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vai: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nevenkite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kuriuos 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inote atsakym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atvirai pasakykite, kad 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inote, kada vaikui/paaugliui bus saugu gr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ti;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netvirtinkite, kad viskas bus gerai; galima pasakyti: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Mes susitvarkysime, 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kosime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eities, ateityje bus lengviau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kur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vai,</w:t>
      </w:r>
      <w:r>
        <w:rPr>
          <w:rFonts w:ascii="Times New Roman" w:hAnsi="Times New Roman"/>
          <w:sz w:val="24"/>
          <w:szCs w:val="24"/>
        </w:rPr>
        <w:t xml:space="preserve"> vaikui atsakykite: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vyko dirbti labai svarb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darb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Kai tik 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susisieks su tavimi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Jeigu atsisako valgyti ar prastai miega, sapnuoja ko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marus: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 priminkite, kad, jeigu nori, gali su jumis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atsisako valgyti,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kite kantr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>paskatinkite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pintis savo sveikata, pasakykite, kad vaikui/paaugliui 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j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stipriam ir pan.; pasir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pinkite 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gstamu jo maistu;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paklauskite, kas vaikui/paaugliui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migti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raminanti muzika,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naujas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aislas, kuris j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saugot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jungta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viesa, atviros durys ir t.t.;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 ko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maras, nuraminkite, kad tai buvo tik sapnas.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Kaip prane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ti apie artimojo mirt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mama/t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uvo,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 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vaikui/paaugliui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prane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ti pats artimiausias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iuo metu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mogus (giminaitis, </w:t>
      </w:r>
      <w:r>
        <w:rPr>
          <w:rFonts w:ascii="Times New Roman" w:hAnsi="Times New Roman"/>
          <w:sz w:val="24"/>
          <w:szCs w:val="24"/>
        </w:rPr>
        <w:t>glob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jas, mokytojas).  Tai pasakyti rekomenduojama dviem etapais: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Turiu tau blog</w:t>
      </w:r>
      <w:r>
        <w:rPr>
          <w:rFonts w:ascii="Times New Roman" w:hAnsi="Times New Roman"/>
          <w:sz w:val="24"/>
          <w:szCs w:val="24"/>
        </w:rPr>
        <w:t>ų 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Tavo mama/t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 mir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. Daugiau jos/jo nebebus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Pasir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pinkite, kad vaikas/paauglys: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kasdienes veiklas: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pavalg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s,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simiegoj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s, jud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fizi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kai,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mokyt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si;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palaikyt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(jeigu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manoma) ry</w:t>
      </w:r>
      <w:r>
        <w:rPr>
          <w:rFonts w:ascii="Times New Roman" w:hAnsi="Times New Roman"/>
          <w:sz w:val="24"/>
          <w:szCs w:val="24"/>
        </w:rPr>
        <w:t xml:space="preserve">šį </w:t>
      </w:r>
      <w:r>
        <w:rPr>
          <w:rFonts w:ascii="Times New Roman" w:hAnsi="Times New Roman"/>
          <w:sz w:val="24"/>
          <w:szCs w:val="24"/>
        </w:rPr>
        <w:t xml:space="preserve">su artimaisiais;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situacij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Ukrainoje gaut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tik patikim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informacij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matyt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kuo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 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karo vaizd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Pasitarkite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psichologu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(nemokamai) </w:t>
      </w:r>
      <w:hyperlink r:id="rId9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„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T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ė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v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 xml:space="preserve">ų 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linijoje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  <w:rtl/>
            <w:lang w:val="ar-SA"/>
          </w:rPr>
          <w:t>“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, 8 800 900 12,</w:t>
        </w:r>
      </w:hyperlink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dienomis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13 val. </w:t>
      </w:r>
      <w:r>
        <w:rPr>
          <w:rFonts w:ascii="Times New Roman" w:hAnsi="Times New Roman"/>
          <w:b/>
          <w:bCs/>
          <w:sz w:val="24"/>
          <w:szCs w:val="24"/>
        </w:rPr>
        <w:t>| 17-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21 val.</w:t>
      </w:r>
      <w:r>
        <w:rPr>
          <w:rFonts w:ascii="Times New Roman" w:hAnsi="Times New Roman"/>
          <w:b/>
          <w:bCs/>
          <w:sz w:val="24"/>
          <w:szCs w:val="24"/>
        </w:rPr>
        <w:t>, 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ntradieniais 17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21 val. ir rus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kalba: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kaip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vaikams ir paaugliams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gyventi netekt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sv-SE"/>
        </w:rPr>
        <w:t>siskyrim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atsakyti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jiems kylan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 klausimus apie ateit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kaip reaguoti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stiprius jausmus: baim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nerim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pykt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ir kt.;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padeda nusiraminti patiems suaugusiems ir vaikams;</w:t>
      </w:r>
    </w:p>
    <w:p w:rsidR="002A6C6B" w:rsidRDefault="00741F29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visais kitais klausimais, </w:t>
      </w:r>
      <w:proofErr w:type="spellStart"/>
      <w:r>
        <w:rPr>
          <w:rFonts w:ascii="Times New Roman" w:hAnsi="Times New Roman"/>
          <w:sz w:val="24"/>
          <w:szCs w:val="24"/>
        </w:rPr>
        <w:t>kylan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iais 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 xml:space="preserve">ir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elgesio, savijautos, tarpusavio santyki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</w:p>
    <w:p w:rsidR="002A6C6B" w:rsidRDefault="002A6C6B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6C6B" w:rsidRDefault="00741F29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2A6C6B" w:rsidRDefault="002A6C6B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741F2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2A6C6B" w:rsidRDefault="00741F2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ir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A6C6B" w:rsidRDefault="002A6C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A6C6B" w:rsidRDefault="002A6C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2A6C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2A6C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6C6B" w:rsidRDefault="002A6C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2A6C6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29" w:rsidRDefault="00741F29">
      <w:r>
        <w:separator/>
      </w:r>
    </w:p>
  </w:endnote>
  <w:endnote w:type="continuationSeparator" w:id="0">
    <w:p w:rsidR="00741F29" w:rsidRDefault="0074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B" w:rsidRDefault="002A6C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29" w:rsidRDefault="00741F29">
      <w:r>
        <w:separator/>
      </w:r>
    </w:p>
  </w:footnote>
  <w:footnote w:type="continuationSeparator" w:id="0">
    <w:p w:rsidR="00741F29" w:rsidRDefault="0074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B" w:rsidRDefault="002A6C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9F7"/>
    <w:multiLevelType w:val="hybridMultilevel"/>
    <w:tmpl w:val="09C42510"/>
    <w:styleLink w:val="Bullet"/>
    <w:lvl w:ilvl="0" w:tplc="591ABB52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F8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2A263E0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4CAEB72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3D06F7A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4DEDAC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1341D26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4C2A7BC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6144E7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B635D2B"/>
    <w:multiLevelType w:val="hybridMultilevel"/>
    <w:tmpl w:val="605049CA"/>
    <w:numStyleLink w:val="BulletBig"/>
  </w:abstractNum>
  <w:abstractNum w:abstractNumId="2">
    <w:nsid w:val="28AF6C35"/>
    <w:multiLevelType w:val="hybridMultilevel"/>
    <w:tmpl w:val="9F5AE622"/>
    <w:numStyleLink w:val="Dash"/>
  </w:abstractNum>
  <w:abstractNum w:abstractNumId="3">
    <w:nsid w:val="4C7439EF"/>
    <w:multiLevelType w:val="hybridMultilevel"/>
    <w:tmpl w:val="9F5AE622"/>
    <w:styleLink w:val="Dash"/>
    <w:lvl w:ilvl="0" w:tplc="675E22B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DFC203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07A66C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BF031D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6C8556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F06EC1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30EA6D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FF2A54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EF68CB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nsid w:val="4F7B7300"/>
    <w:multiLevelType w:val="hybridMultilevel"/>
    <w:tmpl w:val="09C42510"/>
    <w:numStyleLink w:val="Bullet"/>
  </w:abstractNum>
  <w:abstractNum w:abstractNumId="5">
    <w:nsid w:val="5BF62DC6"/>
    <w:multiLevelType w:val="hybridMultilevel"/>
    <w:tmpl w:val="605049CA"/>
    <w:styleLink w:val="BulletBig"/>
    <w:lvl w:ilvl="0" w:tplc="29B6932C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7DAB27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C1CD2A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A144F3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05A80C6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7141CF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1980944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BD54BA54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7920D7E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C6B"/>
    <w:rsid w:val="002A6C6B"/>
    <w:rsid w:val="00741F29"/>
    <w:rsid w:val="00C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character" w:customStyle="1" w:styleId="Hyperlink0">
    <w:name w:val="Hyperlink.0"/>
    <w:basedOn w:val="Hipersaitas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vulinija.l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PRO</cp:lastModifiedBy>
  <cp:revision>2</cp:revision>
  <dcterms:created xsi:type="dcterms:W3CDTF">2022-03-10T13:32:00Z</dcterms:created>
  <dcterms:modified xsi:type="dcterms:W3CDTF">2022-03-10T13:32:00Z</dcterms:modified>
</cp:coreProperties>
</file>